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0C" w:rsidRPr="00121C0C" w:rsidRDefault="00121C0C" w:rsidP="00121C0C">
      <w:pPr>
        <w:spacing w:after="0"/>
        <w:rPr>
          <w:rFonts w:ascii="Arial" w:hAnsi="Arial" w:cs="Arial"/>
          <w:b/>
          <w:u w:val="single"/>
        </w:rPr>
      </w:pPr>
      <w:bookmarkStart w:id="0" w:name="_GoBack"/>
      <w:bookmarkEnd w:id="0"/>
      <w:r w:rsidRPr="00121C0C">
        <w:rPr>
          <w:rFonts w:ascii="Arial" w:hAnsi="Arial" w:cs="Arial"/>
          <w:b/>
          <w:u w:val="single"/>
        </w:rPr>
        <w:t xml:space="preserve">Ergänzende Hinweise </w:t>
      </w:r>
    </w:p>
    <w:p w:rsidR="00121C0C" w:rsidRDefault="00121C0C" w:rsidP="00121C0C">
      <w:pPr>
        <w:spacing w:after="0"/>
        <w:jc w:val="both"/>
        <w:rPr>
          <w:rFonts w:ascii="Arial" w:hAnsi="Arial" w:cs="Arial"/>
          <w:b/>
        </w:rPr>
      </w:pPr>
      <w:r>
        <w:rPr>
          <w:rFonts w:ascii="Arial" w:hAnsi="Arial" w:cs="Arial"/>
          <w:b/>
        </w:rPr>
        <w:t>zu den Verwaltungsvorschriften zur Haushaltssystematik des Landes Nordrhein-Westfalen (Gruppierungsplan mit Zuordnungshinweisen) vom 25.07.2014 - IC2-0013-3.1 - für den Haushaltsvollzug</w:t>
      </w:r>
    </w:p>
    <w:p w:rsidR="008A356F" w:rsidRDefault="008A356F" w:rsidP="001D6C41">
      <w:pPr>
        <w:spacing w:after="0" w:line="240" w:lineRule="auto"/>
        <w:rPr>
          <w:rFonts w:ascii="Arial" w:hAnsi="Arial" w:cs="Arial"/>
        </w:rPr>
      </w:pPr>
    </w:p>
    <w:p w:rsidR="00121C0C" w:rsidRPr="00121C0C" w:rsidRDefault="00121C0C" w:rsidP="001D6C41">
      <w:pPr>
        <w:spacing w:after="0" w:line="240" w:lineRule="auto"/>
        <w:rPr>
          <w:rFonts w:ascii="Arial" w:hAnsi="Arial" w:cs="Arial"/>
          <w:b/>
        </w:rPr>
      </w:pPr>
      <w:r w:rsidRPr="00121C0C">
        <w:rPr>
          <w:rFonts w:ascii="Arial" w:hAnsi="Arial" w:cs="Arial"/>
          <w:b/>
        </w:rPr>
        <w:t>Inhalt</w:t>
      </w:r>
    </w:p>
    <w:p w:rsidR="00F6364B" w:rsidRPr="001D6C41" w:rsidRDefault="00F6364B" w:rsidP="00121C0C">
      <w:pPr>
        <w:spacing w:after="60" w:line="240" w:lineRule="auto"/>
        <w:ind w:left="992" w:hanging="992"/>
        <w:jc w:val="both"/>
        <w:rPr>
          <w:rFonts w:ascii="Arial" w:hAnsi="Arial" w:cs="Arial"/>
        </w:rPr>
      </w:pPr>
      <w:r w:rsidRPr="001D6C41">
        <w:rPr>
          <w:rFonts w:ascii="Arial" w:hAnsi="Arial" w:cs="Arial"/>
        </w:rPr>
        <w:t>a) Hinweise zur Ab</w:t>
      </w:r>
      <w:r w:rsidR="007C5ACC">
        <w:rPr>
          <w:rFonts w:ascii="Arial" w:hAnsi="Arial" w:cs="Arial"/>
        </w:rPr>
        <w:t xml:space="preserve">setzung von der Ausgabe - </w:t>
      </w:r>
      <w:r w:rsidRPr="001D6C41">
        <w:rPr>
          <w:rFonts w:ascii="Arial" w:hAnsi="Arial" w:cs="Arial"/>
        </w:rPr>
        <w:t>Gruppe 119 -</w:t>
      </w:r>
    </w:p>
    <w:p w:rsidR="00F6364B" w:rsidRPr="001D6C41" w:rsidRDefault="00F6364B" w:rsidP="00121C0C">
      <w:pPr>
        <w:spacing w:after="60" w:line="240" w:lineRule="auto"/>
        <w:ind w:left="992" w:hanging="992"/>
        <w:jc w:val="both"/>
        <w:rPr>
          <w:rFonts w:ascii="Arial" w:hAnsi="Arial" w:cs="Arial"/>
        </w:rPr>
      </w:pPr>
      <w:r w:rsidRPr="001D6C41">
        <w:rPr>
          <w:rFonts w:ascii="Arial" w:hAnsi="Arial" w:cs="Arial"/>
        </w:rPr>
        <w:t>b) Hinweise zur Buchung</w:t>
      </w:r>
      <w:r w:rsidR="007C5ACC">
        <w:rPr>
          <w:rFonts w:ascii="Arial" w:hAnsi="Arial" w:cs="Arial"/>
        </w:rPr>
        <w:t xml:space="preserve"> mit der Hauptforderung - </w:t>
      </w:r>
      <w:r w:rsidRPr="001D6C41">
        <w:rPr>
          <w:rFonts w:ascii="Arial" w:hAnsi="Arial" w:cs="Arial"/>
        </w:rPr>
        <w:t>Gruppe 119 -</w:t>
      </w:r>
    </w:p>
    <w:p w:rsidR="00F6364B" w:rsidRPr="001D6C41" w:rsidRDefault="00F6364B" w:rsidP="00121C0C">
      <w:pPr>
        <w:spacing w:after="60" w:line="240" w:lineRule="auto"/>
        <w:ind w:left="992" w:hanging="992"/>
        <w:jc w:val="both"/>
        <w:rPr>
          <w:rFonts w:ascii="Arial" w:hAnsi="Arial" w:cs="Arial"/>
        </w:rPr>
      </w:pPr>
      <w:r w:rsidRPr="001D6C41">
        <w:rPr>
          <w:rFonts w:ascii="Arial" w:hAnsi="Arial" w:cs="Arial"/>
        </w:rPr>
        <w:t>c) Hinweise zum Buchungsverbot bei den Gruppen 371, 372, 461, 462, 548, 549, 971, 972 -</w:t>
      </w:r>
    </w:p>
    <w:p w:rsidR="00F6364B" w:rsidRPr="001D6C41" w:rsidRDefault="00A240FF" w:rsidP="00121C0C">
      <w:pPr>
        <w:spacing w:after="60" w:line="240" w:lineRule="auto"/>
        <w:rPr>
          <w:rFonts w:ascii="Arial" w:hAnsi="Arial" w:cs="Arial"/>
        </w:rPr>
      </w:pPr>
      <w:r>
        <w:rPr>
          <w:rFonts w:ascii="Arial" w:hAnsi="Arial" w:cs="Arial"/>
        </w:rPr>
        <w:t>d) Hinweis zu den Verfügungsmitteln</w:t>
      </w:r>
      <w:r w:rsidR="007C5ACC">
        <w:rPr>
          <w:rFonts w:ascii="Arial" w:hAnsi="Arial" w:cs="Arial"/>
        </w:rPr>
        <w:t xml:space="preserve"> - Gruppe 529 -</w:t>
      </w:r>
    </w:p>
    <w:p w:rsidR="004C12E5" w:rsidRDefault="009C259A" w:rsidP="00121C0C">
      <w:pPr>
        <w:spacing w:after="60" w:line="240" w:lineRule="auto"/>
        <w:ind w:left="992" w:hanging="992"/>
        <w:jc w:val="both"/>
        <w:rPr>
          <w:rFonts w:ascii="Arial" w:hAnsi="Arial" w:cs="Arial"/>
        </w:rPr>
      </w:pPr>
      <w:r>
        <w:rPr>
          <w:rFonts w:ascii="Arial" w:hAnsi="Arial" w:cs="Arial"/>
        </w:rPr>
        <w:t>e) Hinweis zu den Gerichts- und ähnliche Kosten - Gruppe 526 -</w:t>
      </w:r>
    </w:p>
    <w:p w:rsidR="009C259A" w:rsidRDefault="009C259A" w:rsidP="001D6C41">
      <w:pPr>
        <w:spacing w:after="0" w:line="240" w:lineRule="auto"/>
        <w:ind w:left="992" w:hanging="992"/>
        <w:jc w:val="both"/>
        <w:rPr>
          <w:rFonts w:ascii="Arial" w:hAnsi="Arial" w:cs="Arial"/>
        </w:rPr>
      </w:pPr>
    </w:p>
    <w:p w:rsidR="00121C0C" w:rsidRDefault="00121C0C" w:rsidP="001D6C41">
      <w:pPr>
        <w:spacing w:after="0" w:line="240" w:lineRule="auto"/>
        <w:ind w:left="992" w:hanging="992"/>
        <w:jc w:val="both"/>
        <w:rPr>
          <w:rFonts w:ascii="Arial" w:hAnsi="Arial" w:cs="Arial"/>
        </w:rPr>
      </w:pPr>
    </w:p>
    <w:p w:rsidR="00121C0C" w:rsidRPr="001D6C41" w:rsidRDefault="00121C0C" w:rsidP="001D6C41">
      <w:pPr>
        <w:spacing w:after="0" w:line="240" w:lineRule="auto"/>
        <w:ind w:left="992" w:hanging="992"/>
        <w:jc w:val="both"/>
        <w:rPr>
          <w:rFonts w:ascii="Arial" w:hAnsi="Arial" w:cs="Arial"/>
        </w:rPr>
      </w:pPr>
    </w:p>
    <w:p w:rsidR="001D6C41" w:rsidRPr="001D6C41" w:rsidRDefault="001D6C41" w:rsidP="001D6C41">
      <w:pPr>
        <w:spacing w:after="0" w:line="240" w:lineRule="auto"/>
        <w:jc w:val="both"/>
        <w:rPr>
          <w:rFonts w:ascii="Arial" w:hAnsi="Arial" w:cs="Arial"/>
          <w:b/>
        </w:rPr>
      </w:pPr>
      <w:r w:rsidRPr="001D6C41">
        <w:rPr>
          <w:rFonts w:ascii="Arial" w:hAnsi="Arial" w:cs="Arial"/>
          <w:b/>
        </w:rPr>
        <w:t xml:space="preserve">a) Hinweise zur Absetzung von der Ausgabe </w:t>
      </w:r>
    </w:p>
    <w:p w:rsidR="001D6C41" w:rsidRPr="001D6C41" w:rsidRDefault="001D6C41" w:rsidP="001D6C41">
      <w:pPr>
        <w:spacing w:after="0" w:line="240" w:lineRule="auto"/>
        <w:jc w:val="both"/>
        <w:rPr>
          <w:rFonts w:ascii="Arial" w:hAnsi="Arial" w:cs="Arial"/>
        </w:rPr>
      </w:pPr>
    </w:p>
    <w:p w:rsidR="001D6C41" w:rsidRPr="001D6C41" w:rsidRDefault="001D6C41" w:rsidP="001D6C41">
      <w:pPr>
        <w:spacing w:after="0" w:line="240" w:lineRule="auto"/>
        <w:jc w:val="both"/>
        <w:rPr>
          <w:rFonts w:ascii="Arial" w:hAnsi="Arial" w:cs="Arial"/>
          <w:bCs/>
          <w:u w:val="single"/>
        </w:rPr>
      </w:pPr>
      <w:r w:rsidRPr="001D6C41">
        <w:rPr>
          <w:rFonts w:ascii="Arial" w:hAnsi="Arial" w:cs="Arial"/>
          <w:u w:val="single"/>
        </w:rPr>
        <w:t>Zu Gruppe 119 (</w:t>
      </w:r>
      <w:r w:rsidRPr="001D6C41">
        <w:rPr>
          <w:rFonts w:ascii="Arial" w:hAnsi="Arial" w:cs="Arial"/>
          <w:bCs/>
          <w:u w:val="single"/>
        </w:rPr>
        <w:t>Sonstige Verwaltungseinnahmen)</w:t>
      </w:r>
    </w:p>
    <w:p w:rsidR="001D6C41" w:rsidRPr="001D6C41" w:rsidRDefault="001D6C41" w:rsidP="001D6C41">
      <w:pPr>
        <w:spacing w:after="0" w:line="240" w:lineRule="auto"/>
        <w:jc w:val="both"/>
        <w:rPr>
          <w:rFonts w:ascii="Arial" w:hAnsi="Arial" w:cs="Arial"/>
          <w:b/>
          <w:bCs/>
        </w:rPr>
      </w:pPr>
    </w:p>
    <w:p w:rsidR="001D6C41" w:rsidRPr="001D6C41" w:rsidRDefault="001D6C41" w:rsidP="001D6C41">
      <w:pPr>
        <w:spacing w:after="0" w:line="240" w:lineRule="auto"/>
        <w:jc w:val="both"/>
        <w:rPr>
          <w:rFonts w:ascii="Arial" w:hAnsi="Arial" w:cs="Arial"/>
          <w:b/>
          <w:bCs/>
        </w:rPr>
      </w:pPr>
      <w:r w:rsidRPr="001D6C41">
        <w:rPr>
          <w:rFonts w:ascii="Arial" w:hAnsi="Arial" w:cs="Arial"/>
        </w:rPr>
        <w:t>Ersatzleistungen und andere Entschädigungen aus Versicherungsverträgen und von Privaten für Schäden sind bei Gruppe 119 zu buchen, soweit nicht eine Absetzung von der Ausgabe vorgeschrieben ist (vgl. VV zu den §§ 15 und 35 LHO)</w:t>
      </w:r>
    </w:p>
    <w:p w:rsidR="001D6C41" w:rsidRPr="001D6C41" w:rsidRDefault="001D6C41" w:rsidP="001D6C41">
      <w:pPr>
        <w:spacing w:after="0" w:line="240" w:lineRule="auto"/>
        <w:jc w:val="both"/>
        <w:rPr>
          <w:rFonts w:ascii="Arial" w:hAnsi="Arial" w:cs="Arial"/>
        </w:rPr>
      </w:pPr>
    </w:p>
    <w:p w:rsidR="001D6C41" w:rsidRPr="001D6C41" w:rsidRDefault="001D6C41" w:rsidP="001D6C41">
      <w:pPr>
        <w:spacing w:after="0" w:line="240" w:lineRule="auto"/>
        <w:jc w:val="both"/>
        <w:rPr>
          <w:rFonts w:ascii="Arial" w:hAnsi="Arial" w:cs="Arial"/>
        </w:rPr>
      </w:pPr>
      <w:r w:rsidRPr="001D6C41">
        <w:rPr>
          <w:rFonts w:ascii="Arial" w:hAnsi="Arial" w:cs="Arial"/>
        </w:rPr>
        <w:t>Rückzahlung überzahlter Beträge, Frachterstattungen sind bei Gruppe 119 zu buchen, soweit nicht eine Absetzung von der Ausgabe vorgeschrieben ist (vgl. VV zu § 35 LHO)</w:t>
      </w:r>
    </w:p>
    <w:p w:rsidR="001D6C41" w:rsidRPr="001D6C41" w:rsidRDefault="001D6C41" w:rsidP="001D6C41">
      <w:pPr>
        <w:spacing w:after="0" w:line="240" w:lineRule="auto"/>
        <w:jc w:val="both"/>
        <w:rPr>
          <w:rFonts w:ascii="Arial" w:hAnsi="Arial" w:cs="Arial"/>
        </w:rPr>
      </w:pPr>
    </w:p>
    <w:p w:rsidR="001D6C41" w:rsidRDefault="001D6C41" w:rsidP="001D6C41">
      <w:pPr>
        <w:spacing w:after="0" w:line="240" w:lineRule="auto"/>
        <w:jc w:val="both"/>
        <w:rPr>
          <w:rFonts w:ascii="Arial" w:hAnsi="Arial" w:cs="Arial"/>
        </w:rPr>
      </w:pPr>
      <w:r w:rsidRPr="001D6C41">
        <w:rPr>
          <w:rFonts w:ascii="Arial" w:hAnsi="Arial" w:cs="Arial"/>
        </w:rPr>
        <w:t>Einnahmen für die Inanspruchnahme dienstlicher Fernmeldeanlagen durch Dritte sind bei den entsprechenden Titeln von der Ausgabe abzusetzen (vgl. VV zu den §§ 15 und 35 LHO)</w:t>
      </w:r>
    </w:p>
    <w:p w:rsidR="001D6C41" w:rsidRDefault="001D6C41" w:rsidP="001D6C41">
      <w:pPr>
        <w:spacing w:after="0" w:line="240" w:lineRule="auto"/>
        <w:jc w:val="both"/>
        <w:rPr>
          <w:rFonts w:ascii="Arial" w:hAnsi="Arial" w:cs="Arial"/>
        </w:rPr>
      </w:pPr>
    </w:p>
    <w:p w:rsidR="001D6C41" w:rsidRPr="00A240FF" w:rsidRDefault="001D6C41" w:rsidP="001D6C41">
      <w:pPr>
        <w:spacing w:after="0" w:line="240" w:lineRule="auto"/>
        <w:jc w:val="both"/>
        <w:rPr>
          <w:rFonts w:ascii="Arial" w:hAnsi="Arial" w:cs="Arial"/>
          <w:b/>
        </w:rPr>
      </w:pPr>
    </w:p>
    <w:p w:rsidR="001D6C41" w:rsidRPr="00A240FF" w:rsidRDefault="001D6C41" w:rsidP="001D6C41">
      <w:pPr>
        <w:spacing w:after="0" w:line="240" w:lineRule="auto"/>
        <w:ind w:left="992" w:hanging="992"/>
        <w:jc w:val="both"/>
        <w:rPr>
          <w:rFonts w:ascii="Arial" w:hAnsi="Arial" w:cs="Arial"/>
          <w:b/>
        </w:rPr>
      </w:pPr>
      <w:r w:rsidRPr="00A240FF">
        <w:rPr>
          <w:rFonts w:ascii="Arial" w:hAnsi="Arial" w:cs="Arial"/>
          <w:b/>
        </w:rPr>
        <w:t>b) Hinweise zur Buchung mit der Hau</w:t>
      </w:r>
      <w:r w:rsidR="00704A59" w:rsidRPr="00A240FF">
        <w:rPr>
          <w:rFonts w:ascii="Arial" w:hAnsi="Arial" w:cs="Arial"/>
          <w:b/>
        </w:rPr>
        <w:t>ptforderung</w:t>
      </w:r>
    </w:p>
    <w:p w:rsidR="001D6C41" w:rsidRPr="00A240FF" w:rsidRDefault="001D6C41" w:rsidP="001D6C41">
      <w:pPr>
        <w:spacing w:after="0" w:line="240" w:lineRule="auto"/>
        <w:jc w:val="both"/>
        <w:rPr>
          <w:rFonts w:ascii="Arial" w:hAnsi="Arial" w:cs="Arial"/>
        </w:rPr>
      </w:pPr>
    </w:p>
    <w:p w:rsidR="00704A59" w:rsidRPr="00A240FF" w:rsidRDefault="00704A59" w:rsidP="00704A59">
      <w:pPr>
        <w:spacing w:after="0" w:line="240" w:lineRule="auto"/>
        <w:jc w:val="both"/>
        <w:rPr>
          <w:rFonts w:ascii="Arial" w:hAnsi="Arial" w:cs="Arial"/>
          <w:bCs/>
          <w:u w:val="single"/>
        </w:rPr>
      </w:pPr>
      <w:r w:rsidRPr="00A240FF">
        <w:rPr>
          <w:rFonts w:ascii="Arial" w:hAnsi="Arial" w:cs="Arial"/>
          <w:u w:val="single"/>
        </w:rPr>
        <w:t>Zu Gruppe 119 (</w:t>
      </w:r>
      <w:r w:rsidRPr="00A240FF">
        <w:rPr>
          <w:rFonts w:ascii="Arial" w:hAnsi="Arial" w:cs="Arial"/>
          <w:bCs/>
          <w:u w:val="single"/>
        </w:rPr>
        <w:t>Sonstige Verwaltungseinnahmen)</w:t>
      </w:r>
    </w:p>
    <w:p w:rsidR="001D6C41" w:rsidRPr="00A240FF" w:rsidRDefault="001D6C41" w:rsidP="001D6C41">
      <w:pPr>
        <w:spacing w:after="0" w:line="240" w:lineRule="auto"/>
        <w:jc w:val="both"/>
        <w:rPr>
          <w:rFonts w:ascii="Arial" w:hAnsi="Arial" w:cs="Arial"/>
        </w:rPr>
      </w:pPr>
    </w:p>
    <w:p w:rsidR="00704A59" w:rsidRPr="00A240FF" w:rsidRDefault="00704A59" w:rsidP="001D6C41">
      <w:pPr>
        <w:spacing w:after="0" w:line="240" w:lineRule="auto"/>
        <w:jc w:val="both"/>
        <w:rPr>
          <w:rFonts w:ascii="Arial" w:hAnsi="Arial" w:cs="Arial"/>
        </w:rPr>
      </w:pPr>
      <w:r w:rsidRPr="00A240FF">
        <w:rPr>
          <w:rFonts w:ascii="Arial" w:hAnsi="Arial" w:cs="Arial"/>
        </w:rPr>
        <w:t>Einnahmen aus der Verwertung von Pfändern sind bei Gruppe 119 z</w:t>
      </w:r>
      <w:r w:rsidR="00A6026B">
        <w:rPr>
          <w:rFonts w:ascii="Arial" w:hAnsi="Arial" w:cs="Arial"/>
        </w:rPr>
        <w:t>u</w:t>
      </w:r>
      <w:r w:rsidRPr="00A240FF">
        <w:rPr>
          <w:rFonts w:ascii="Arial" w:hAnsi="Arial" w:cs="Arial"/>
        </w:rPr>
        <w:t xml:space="preserve"> buchen, soweit die Buchung mit der Hauptforderung nicht möglich ist.</w:t>
      </w:r>
    </w:p>
    <w:p w:rsidR="00704A59" w:rsidRPr="00A240FF" w:rsidRDefault="00704A59" w:rsidP="001D6C41">
      <w:pPr>
        <w:spacing w:after="0" w:line="240" w:lineRule="auto"/>
        <w:jc w:val="both"/>
        <w:rPr>
          <w:rFonts w:ascii="Arial" w:hAnsi="Arial" w:cs="Arial"/>
        </w:rPr>
      </w:pPr>
    </w:p>
    <w:p w:rsidR="00704A59" w:rsidRPr="00A240FF" w:rsidRDefault="00704A59" w:rsidP="001D6C41">
      <w:pPr>
        <w:spacing w:after="0" w:line="240" w:lineRule="auto"/>
        <w:jc w:val="both"/>
        <w:rPr>
          <w:rFonts w:ascii="Arial" w:hAnsi="Arial" w:cs="Arial"/>
        </w:rPr>
      </w:pPr>
    </w:p>
    <w:p w:rsidR="00672D87" w:rsidRPr="00672D87" w:rsidRDefault="00A240FF" w:rsidP="00672D87">
      <w:pPr>
        <w:spacing w:after="0" w:line="240" w:lineRule="auto"/>
        <w:ind w:left="992" w:hanging="992"/>
        <w:jc w:val="both"/>
        <w:rPr>
          <w:rFonts w:ascii="Arial" w:hAnsi="Arial" w:cs="Arial"/>
          <w:b/>
        </w:rPr>
      </w:pPr>
      <w:r w:rsidRPr="00672D87">
        <w:rPr>
          <w:rFonts w:ascii="Arial" w:hAnsi="Arial" w:cs="Arial"/>
          <w:b/>
        </w:rPr>
        <w:t>c)</w:t>
      </w:r>
      <w:r w:rsidR="00672D87" w:rsidRPr="00672D87">
        <w:rPr>
          <w:rFonts w:ascii="Arial" w:hAnsi="Arial" w:cs="Arial"/>
          <w:b/>
        </w:rPr>
        <w:t xml:space="preserve"> Hinweise zum Buchungsverbot </w:t>
      </w:r>
    </w:p>
    <w:p w:rsidR="00672D87" w:rsidRDefault="00672D87" w:rsidP="00672D87">
      <w:pPr>
        <w:spacing w:after="0" w:line="240" w:lineRule="auto"/>
        <w:ind w:left="992" w:hanging="992"/>
        <w:jc w:val="both"/>
        <w:rPr>
          <w:rFonts w:ascii="Arial" w:hAnsi="Arial" w:cs="Arial"/>
        </w:rPr>
      </w:pP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371 Globale Mehreinnahmen</w:t>
      </w: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372 Globale Mindereinnahmen</w:t>
      </w: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461 Globale Mehrausgaben für Personalausgaben</w:t>
      </w: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462 Globale Minderausgaben für Personalausgaben</w:t>
      </w: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548 Globale Mehrausgaben für sächliche Verwaltungsausgaben</w:t>
      </w: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549 Globale Minderausgaben für sächliche Verwaltungsausgaben</w:t>
      </w: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971 Globale Mehrausgaben</w:t>
      </w:r>
    </w:p>
    <w:p w:rsidR="00672D87" w:rsidRPr="00672D87" w:rsidRDefault="00672D87" w:rsidP="00672D87">
      <w:pPr>
        <w:spacing w:after="0" w:line="240" w:lineRule="auto"/>
        <w:ind w:left="992" w:hanging="992"/>
        <w:jc w:val="both"/>
        <w:rPr>
          <w:rFonts w:ascii="Arial" w:hAnsi="Arial" w:cs="Arial"/>
          <w:u w:val="single"/>
        </w:rPr>
      </w:pPr>
      <w:r w:rsidRPr="00672D87">
        <w:rPr>
          <w:rFonts w:ascii="Arial" w:hAnsi="Arial" w:cs="Arial"/>
          <w:u w:val="single"/>
        </w:rPr>
        <w:t>Zu Gruppe 972 Globale Minderausgaben</w:t>
      </w:r>
    </w:p>
    <w:p w:rsidR="00704A59" w:rsidRPr="00A240FF" w:rsidRDefault="00704A59" w:rsidP="001D6C41">
      <w:pPr>
        <w:spacing w:after="0" w:line="240" w:lineRule="auto"/>
        <w:jc w:val="both"/>
        <w:rPr>
          <w:rFonts w:ascii="Arial" w:hAnsi="Arial" w:cs="Arial"/>
        </w:rPr>
      </w:pPr>
    </w:p>
    <w:p w:rsidR="00A240FF" w:rsidRPr="00672D87" w:rsidRDefault="00672D87" w:rsidP="001D6C41">
      <w:pPr>
        <w:spacing w:after="0" w:line="240" w:lineRule="auto"/>
        <w:jc w:val="both"/>
        <w:rPr>
          <w:rFonts w:ascii="Arial" w:hAnsi="Arial" w:cs="Arial"/>
        </w:rPr>
      </w:pPr>
      <w:r w:rsidRPr="00672D87">
        <w:rPr>
          <w:rFonts w:ascii="Arial" w:hAnsi="Arial" w:cs="Arial"/>
        </w:rPr>
        <w:t xml:space="preserve">Buchungen dürfen </w:t>
      </w:r>
      <w:r>
        <w:rPr>
          <w:rFonts w:ascii="Arial" w:hAnsi="Arial" w:cs="Arial"/>
        </w:rPr>
        <w:t xml:space="preserve">bei diesen Gruppen </w:t>
      </w:r>
      <w:r w:rsidRPr="00672D87">
        <w:rPr>
          <w:rFonts w:ascii="Arial" w:hAnsi="Arial" w:cs="Arial"/>
        </w:rPr>
        <w:t>nicht vorgenommen werden</w:t>
      </w:r>
    </w:p>
    <w:p w:rsidR="00121C0C" w:rsidRDefault="00121C0C">
      <w:pPr>
        <w:rPr>
          <w:rFonts w:ascii="Arial" w:hAnsi="Arial" w:cs="Arial"/>
        </w:rPr>
      </w:pPr>
      <w:r>
        <w:rPr>
          <w:rFonts w:ascii="Arial" w:hAnsi="Arial" w:cs="Arial"/>
        </w:rPr>
        <w:br w:type="page"/>
      </w:r>
    </w:p>
    <w:p w:rsidR="00672D87" w:rsidRPr="00A240FF" w:rsidRDefault="00672D87" w:rsidP="001D6C41">
      <w:pPr>
        <w:spacing w:after="0" w:line="240" w:lineRule="auto"/>
        <w:jc w:val="both"/>
        <w:rPr>
          <w:rFonts w:ascii="Arial" w:hAnsi="Arial" w:cs="Arial"/>
        </w:rPr>
      </w:pPr>
    </w:p>
    <w:p w:rsidR="00A240FF" w:rsidRPr="00672D87" w:rsidRDefault="00A240FF" w:rsidP="001D6C41">
      <w:pPr>
        <w:spacing w:after="0" w:line="240" w:lineRule="auto"/>
        <w:jc w:val="both"/>
        <w:rPr>
          <w:rFonts w:ascii="Arial" w:hAnsi="Arial" w:cs="Arial"/>
          <w:b/>
        </w:rPr>
      </w:pPr>
      <w:r w:rsidRPr="00672D87">
        <w:rPr>
          <w:rFonts w:ascii="Arial" w:hAnsi="Arial" w:cs="Arial"/>
          <w:b/>
        </w:rPr>
        <w:t>d) Hinweis zu den Verfügungsmitteln</w:t>
      </w:r>
    </w:p>
    <w:p w:rsidR="00A240FF" w:rsidRPr="00A240FF" w:rsidRDefault="00A240FF" w:rsidP="001D6C41">
      <w:pPr>
        <w:spacing w:after="0" w:line="240" w:lineRule="auto"/>
        <w:jc w:val="both"/>
        <w:rPr>
          <w:rFonts w:ascii="Arial" w:hAnsi="Arial" w:cs="Arial"/>
        </w:rPr>
      </w:pPr>
    </w:p>
    <w:p w:rsidR="00A240FF" w:rsidRPr="00A240FF" w:rsidRDefault="00A240FF" w:rsidP="001D6C41">
      <w:pPr>
        <w:spacing w:after="0" w:line="240" w:lineRule="auto"/>
        <w:jc w:val="both"/>
        <w:rPr>
          <w:rFonts w:ascii="Arial" w:hAnsi="Arial" w:cs="Arial"/>
          <w:u w:val="single"/>
        </w:rPr>
      </w:pPr>
      <w:r w:rsidRPr="00A240FF">
        <w:rPr>
          <w:rFonts w:ascii="Arial" w:hAnsi="Arial" w:cs="Arial"/>
          <w:u w:val="single"/>
        </w:rPr>
        <w:t>Zu Gruppe 529 (Verfügungsmittel)</w:t>
      </w:r>
    </w:p>
    <w:p w:rsidR="00A240FF" w:rsidRPr="00A240FF" w:rsidRDefault="00A240FF" w:rsidP="001D6C41">
      <w:pPr>
        <w:spacing w:after="0" w:line="240" w:lineRule="auto"/>
        <w:jc w:val="both"/>
        <w:rPr>
          <w:rFonts w:ascii="Arial" w:hAnsi="Arial" w:cs="Arial"/>
          <w:u w:val="single"/>
        </w:rPr>
      </w:pPr>
    </w:p>
    <w:p w:rsidR="00A240FF" w:rsidRDefault="00A240FF" w:rsidP="001D6C41">
      <w:pPr>
        <w:spacing w:after="0" w:line="240" w:lineRule="auto"/>
        <w:jc w:val="both"/>
        <w:rPr>
          <w:rFonts w:ascii="Arial" w:hAnsi="Arial" w:cs="Arial"/>
        </w:rPr>
      </w:pPr>
      <w:r w:rsidRPr="00A240FF">
        <w:rPr>
          <w:rFonts w:ascii="Arial" w:hAnsi="Arial" w:cs="Arial"/>
        </w:rPr>
        <w:t>Die Ausgaben sind einzeln zu belegen, eine pauschale Auszahlung ist nicht zulässig</w:t>
      </w:r>
      <w:r w:rsidR="00051F2D">
        <w:rPr>
          <w:rFonts w:ascii="Arial" w:hAnsi="Arial" w:cs="Arial"/>
        </w:rPr>
        <w:t>.</w:t>
      </w:r>
    </w:p>
    <w:p w:rsidR="009C259A" w:rsidRDefault="009C259A" w:rsidP="001D6C41">
      <w:pPr>
        <w:spacing w:after="0" w:line="240" w:lineRule="auto"/>
        <w:jc w:val="both"/>
        <w:rPr>
          <w:rFonts w:ascii="Arial" w:hAnsi="Arial" w:cs="Arial"/>
        </w:rPr>
      </w:pPr>
    </w:p>
    <w:p w:rsidR="006D20B0" w:rsidRDefault="006D20B0" w:rsidP="001D6C41">
      <w:pPr>
        <w:spacing w:after="0" w:line="240" w:lineRule="auto"/>
        <w:jc w:val="both"/>
        <w:rPr>
          <w:rFonts w:ascii="Arial" w:hAnsi="Arial" w:cs="Arial"/>
        </w:rPr>
      </w:pPr>
    </w:p>
    <w:p w:rsidR="009C259A" w:rsidRDefault="009C259A" w:rsidP="009C259A">
      <w:pPr>
        <w:spacing w:after="0" w:line="240" w:lineRule="auto"/>
        <w:ind w:left="992" w:hanging="992"/>
        <w:jc w:val="both"/>
        <w:rPr>
          <w:rFonts w:ascii="Arial" w:hAnsi="Arial" w:cs="Arial"/>
          <w:b/>
        </w:rPr>
      </w:pPr>
      <w:r w:rsidRPr="009C259A">
        <w:rPr>
          <w:rFonts w:ascii="Arial" w:hAnsi="Arial" w:cs="Arial"/>
          <w:b/>
        </w:rPr>
        <w:t xml:space="preserve">e) Hinweis zu den Gerichts- und ähnliche Kosten </w:t>
      </w:r>
    </w:p>
    <w:p w:rsidR="009C259A" w:rsidRDefault="009C259A" w:rsidP="009C259A">
      <w:pPr>
        <w:spacing w:after="0" w:line="240" w:lineRule="auto"/>
        <w:ind w:left="992" w:hanging="992"/>
        <w:jc w:val="both"/>
        <w:rPr>
          <w:rFonts w:ascii="Arial" w:hAnsi="Arial" w:cs="Arial"/>
          <w:b/>
        </w:rPr>
      </w:pPr>
    </w:p>
    <w:p w:rsidR="009C259A" w:rsidRPr="009C259A" w:rsidRDefault="009C259A" w:rsidP="009C259A">
      <w:pPr>
        <w:spacing w:after="0" w:line="240" w:lineRule="auto"/>
        <w:ind w:left="992" w:hanging="992"/>
        <w:jc w:val="both"/>
        <w:rPr>
          <w:rFonts w:ascii="Arial" w:hAnsi="Arial" w:cs="Arial"/>
          <w:u w:val="single"/>
        </w:rPr>
      </w:pPr>
      <w:r w:rsidRPr="009C259A">
        <w:rPr>
          <w:rFonts w:ascii="Arial" w:hAnsi="Arial" w:cs="Arial"/>
          <w:u w:val="single"/>
        </w:rPr>
        <w:t xml:space="preserve">Zu Gruppe 526 </w:t>
      </w:r>
      <w:r>
        <w:rPr>
          <w:rFonts w:ascii="Arial" w:hAnsi="Arial" w:cs="Arial"/>
          <w:u w:val="single"/>
        </w:rPr>
        <w:t>(</w:t>
      </w:r>
      <w:r w:rsidR="00072FB8">
        <w:rPr>
          <w:rFonts w:ascii="Arial" w:hAnsi="Arial" w:cs="Arial"/>
          <w:u w:val="single"/>
        </w:rPr>
        <w:t>Ausgaben für Sachverständige, Gerichtskosten und ähnliche Ausgaben</w:t>
      </w:r>
      <w:r>
        <w:rPr>
          <w:rFonts w:ascii="Arial" w:hAnsi="Arial" w:cs="Arial"/>
          <w:u w:val="single"/>
        </w:rPr>
        <w:t>)</w:t>
      </w:r>
    </w:p>
    <w:p w:rsidR="009C259A" w:rsidRDefault="009C259A" w:rsidP="001D6C41">
      <w:pPr>
        <w:spacing w:after="0" w:line="240" w:lineRule="auto"/>
        <w:jc w:val="both"/>
        <w:rPr>
          <w:rFonts w:ascii="Arial" w:hAnsi="Arial" w:cs="Arial"/>
          <w:u w:val="single"/>
        </w:rPr>
      </w:pPr>
    </w:p>
    <w:p w:rsidR="009C259A" w:rsidRPr="009C259A" w:rsidRDefault="009C259A" w:rsidP="001D6C41">
      <w:pPr>
        <w:spacing w:after="0" w:line="240" w:lineRule="auto"/>
        <w:jc w:val="both"/>
        <w:rPr>
          <w:rFonts w:ascii="Arial" w:hAnsi="Arial" w:cs="Arial"/>
          <w:u w:val="single"/>
        </w:rPr>
      </w:pPr>
      <w:r w:rsidRPr="009C259A">
        <w:rPr>
          <w:rFonts w:ascii="Arial" w:hAnsi="Arial" w:cs="Arial"/>
        </w:rPr>
        <w:t>Soweit das Land nicht als Partei auftritt, sind die Gerichts</w:t>
      </w:r>
      <w:r w:rsidR="00072FB8">
        <w:rPr>
          <w:rFonts w:ascii="Arial" w:hAnsi="Arial" w:cs="Arial"/>
        </w:rPr>
        <w:t>kosten</w:t>
      </w:r>
      <w:r w:rsidRPr="009C259A">
        <w:rPr>
          <w:rFonts w:ascii="Arial" w:hAnsi="Arial" w:cs="Arial"/>
        </w:rPr>
        <w:t xml:space="preserve"> und ähnliche </w:t>
      </w:r>
      <w:r w:rsidR="00072FB8">
        <w:rPr>
          <w:rFonts w:ascii="Arial" w:hAnsi="Arial" w:cs="Arial"/>
        </w:rPr>
        <w:t>Ausgaben</w:t>
      </w:r>
      <w:r w:rsidRPr="009C259A">
        <w:rPr>
          <w:rFonts w:ascii="Arial" w:hAnsi="Arial" w:cs="Arial"/>
        </w:rPr>
        <w:t xml:space="preserve"> bei Gruppe 532 zu buchen</w:t>
      </w:r>
      <w:r>
        <w:rPr>
          <w:rFonts w:ascii="Arial" w:hAnsi="Arial" w:cs="Arial"/>
        </w:rPr>
        <w:t>.</w:t>
      </w:r>
    </w:p>
    <w:sectPr w:rsidR="009C259A" w:rsidRPr="009C259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1F" w:rsidRDefault="00E95D1F" w:rsidP="00E95D1F">
      <w:pPr>
        <w:spacing w:after="0" w:line="240" w:lineRule="auto"/>
      </w:pPr>
      <w:r>
        <w:separator/>
      </w:r>
    </w:p>
  </w:endnote>
  <w:endnote w:type="continuationSeparator" w:id="0">
    <w:p w:rsidR="00E95D1F" w:rsidRDefault="00E95D1F" w:rsidP="00E9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1F" w:rsidRDefault="00E95D1F" w:rsidP="00E95D1F">
      <w:pPr>
        <w:spacing w:after="0" w:line="240" w:lineRule="auto"/>
      </w:pPr>
      <w:r>
        <w:separator/>
      </w:r>
    </w:p>
  </w:footnote>
  <w:footnote w:type="continuationSeparator" w:id="0">
    <w:p w:rsidR="00E95D1F" w:rsidRDefault="00E95D1F" w:rsidP="00E9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2D" w:rsidRPr="00241BC5" w:rsidRDefault="00051F2D" w:rsidP="00051F2D">
    <w:pPr>
      <w:pStyle w:val="Kopfzeile"/>
      <w:jc w:val="right"/>
      <w:rPr>
        <w:rFonts w:ascii="Arial" w:hAnsi="Arial" w:cs="Arial"/>
        <w:sz w:val="24"/>
        <w:szCs w:val="24"/>
        <w:u w:val="single"/>
      </w:rPr>
    </w:pPr>
    <w:r w:rsidRPr="00241BC5">
      <w:rPr>
        <w:rFonts w:ascii="Arial" w:hAnsi="Arial" w:cs="Arial"/>
        <w:sz w:val="24"/>
        <w:szCs w:val="24"/>
        <w:u w:val="single"/>
      </w:rPr>
      <w:t xml:space="preserve">Anlage </w:t>
    </w:r>
    <w:r w:rsidR="007D305D">
      <w:rPr>
        <w:rFonts w:ascii="Arial" w:hAnsi="Arial" w:cs="Arial"/>
        <w:sz w:val="24"/>
        <w:szCs w:val="24"/>
        <w:u w:val="single"/>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6F"/>
    <w:rsid w:val="00051F2D"/>
    <w:rsid w:val="00072FB8"/>
    <w:rsid w:val="000A12DF"/>
    <w:rsid w:val="00121C0C"/>
    <w:rsid w:val="00172248"/>
    <w:rsid w:val="001D6C41"/>
    <w:rsid w:val="00241BC5"/>
    <w:rsid w:val="003C7431"/>
    <w:rsid w:val="004C12E5"/>
    <w:rsid w:val="006549E8"/>
    <w:rsid w:val="00672D87"/>
    <w:rsid w:val="006D20B0"/>
    <w:rsid w:val="00702DAD"/>
    <w:rsid w:val="00704A59"/>
    <w:rsid w:val="007C5ACC"/>
    <w:rsid w:val="007D305D"/>
    <w:rsid w:val="008A356F"/>
    <w:rsid w:val="008A5CAE"/>
    <w:rsid w:val="00903B70"/>
    <w:rsid w:val="00983D96"/>
    <w:rsid w:val="009C259A"/>
    <w:rsid w:val="00A240FF"/>
    <w:rsid w:val="00A4499A"/>
    <w:rsid w:val="00A553DB"/>
    <w:rsid w:val="00A6026B"/>
    <w:rsid w:val="00A802F5"/>
    <w:rsid w:val="00D90BA6"/>
    <w:rsid w:val="00E95D1F"/>
    <w:rsid w:val="00F63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431"/>
    <w:pPr>
      <w:ind w:left="720"/>
      <w:contextualSpacing/>
    </w:pPr>
  </w:style>
  <w:style w:type="paragraph" w:styleId="Kopfzeile">
    <w:name w:val="header"/>
    <w:basedOn w:val="Standard"/>
    <w:link w:val="KopfzeileZchn"/>
    <w:uiPriority w:val="99"/>
    <w:unhideWhenUsed/>
    <w:rsid w:val="00051F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F2D"/>
  </w:style>
  <w:style w:type="paragraph" w:styleId="Fuzeile">
    <w:name w:val="footer"/>
    <w:basedOn w:val="Standard"/>
    <w:link w:val="FuzeileZchn"/>
    <w:uiPriority w:val="99"/>
    <w:unhideWhenUsed/>
    <w:rsid w:val="00051F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431"/>
    <w:pPr>
      <w:ind w:left="720"/>
      <w:contextualSpacing/>
    </w:pPr>
  </w:style>
  <w:style w:type="paragraph" w:styleId="Kopfzeile">
    <w:name w:val="header"/>
    <w:basedOn w:val="Standard"/>
    <w:link w:val="KopfzeileZchn"/>
    <w:uiPriority w:val="99"/>
    <w:unhideWhenUsed/>
    <w:rsid w:val="00051F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F2D"/>
  </w:style>
  <w:style w:type="paragraph" w:styleId="Fuzeile">
    <w:name w:val="footer"/>
    <w:basedOn w:val="Standard"/>
    <w:link w:val="FuzeileZchn"/>
    <w:uiPriority w:val="99"/>
    <w:unhideWhenUsed/>
    <w:rsid w:val="00051F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0813">
      <w:bodyDiv w:val="1"/>
      <w:marLeft w:val="75"/>
      <w:marRight w:val="75"/>
      <w:marTop w:val="75"/>
      <w:marBottom w:val="75"/>
      <w:divBdr>
        <w:top w:val="none" w:sz="0" w:space="0" w:color="auto"/>
        <w:left w:val="none" w:sz="0" w:space="0" w:color="auto"/>
        <w:bottom w:val="none" w:sz="0" w:space="0" w:color="auto"/>
        <w:right w:val="none" w:sz="0" w:space="0" w:color="auto"/>
      </w:divBdr>
      <w:divsChild>
        <w:div w:id="581376843">
          <w:marLeft w:val="0"/>
          <w:marRight w:val="120"/>
          <w:marTop w:val="0"/>
          <w:marBottom w:val="0"/>
          <w:divBdr>
            <w:top w:val="none" w:sz="0" w:space="0" w:color="auto"/>
            <w:left w:val="none" w:sz="0" w:space="0" w:color="auto"/>
            <w:bottom w:val="none" w:sz="0" w:space="0" w:color="auto"/>
            <w:right w:val="none" w:sz="0" w:space="0" w:color="auto"/>
          </w:divBdr>
          <w:divsChild>
            <w:div w:id="1080173344">
              <w:marLeft w:val="168"/>
              <w:marRight w:val="168"/>
              <w:marTop w:val="0"/>
              <w:marBottom w:val="0"/>
              <w:divBdr>
                <w:top w:val="none" w:sz="0" w:space="0" w:color="auto"/>
                <w:left w:val="none" w:sz="0" w:space="0" w:color="auto"/>
                <w:bottom w:val="none" w:sz="0" w:space="0" w:color="auto"/>
                <w:right w:val="none" w:sz="0" w:space="0" w:color="auto"/>
              </w:divBdr>
              <w:divsChild>
                <w:div w:id="1647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8550">
      <w:bodyDiv w:val="1"/>
      <w:marLeft w:val="0"/>
      <w:marRight w:val="0"/>
      <w:marTop w:val="0"/>
      <w:marBottom w:val="0"/>
      <w:divBdr>
        <w:top w:val="none" w:sz="0" w:space="0" w:color="auto"/>
        <w:left w:val="none" w:sz="0" w:space="0" w:color="auto"/>
        <w:bottom w:val="none" w:sz="0" w:space="0" w:color="auto"/>
        <w:right w:val="none" w:sz="0" w:space="0" w:color="auto"/>
      </w:divBdr>
    </w:div>
    <w:div w:id="1409695912">
      <w:bodyDiv w:val="1"/>
      <w:marLeft w:val="75"/>
      <w:marRight w:val="75"/>
      <w:marTop w:val="75"/>
      <w:marBottom w:val="75"/>
      <w:divBdr>
        <w:top w:val="none" w:sz="0" w:space="0" w:color="auto"/>
        <w:left w:val="none" w:sz="0" w:space="0" w:color="auto"/>
        <w:bottom w:val="none" w:sz="0" w:space="0" w:color="auto"/>
        <w:right w:val="none" w:sz="0" w:space="0" w:color="auto"/>
      </w:divBdr>
      <w:divsChild>
        <w:div w:id="1223518111">
          <w:marLeft w:val="0"/>
          <w:marRight w:val="120"/>
          <w:marTop w:val="0"/>
          <w:marBottom w:val="0"/>
          <w:divBdr>
            <w:top w:val="none" w:sz="0" w:space="0" w:color="auto"/>
            <w:left w:val="none" w:sz="0" w:space="0" w:color="auto"/>
            <w:bottom w:val="none" w:sz="0" w:space="0" w:color="auto"/>
            <w:right w:val="none" w:sz="0" w:space="0" w:color="auto"/>
          </w:divBdr>
          <w:divsChild>
            <w:div w:id="1173757589">
              <w:marLeft w:val="168"/>
              <w:marRight w:val="168"/>
              <w:marTop w:val="0"/>
              <w:marBottom w:val="0"/>
              <w:divBdr>
                <w:top w:val="none" w:sz="0" w:space="0" w:color="auto"/>
                <w:left w:val="none" w:sz="0" w:space="0" w:color="auto"/>
                <w:bottom w:val="none" w:sz="0" w:space="0" w:color="auto"/>
                <w:right w:val="none" w:sz="0" w:space="0" w:color="auto"/>
              </w:divBdr>
              <w:divsChild>
                <w:div w:id="1778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Bergert, Hartmut (FM, REF I C 2)</dc:creator>
  <cp:lastModifiedBy>Schlupp, Gertrud-Ingeburg (FM, REF I B 1)</cp:lastModifiedBy>
  <cp:revision>2</cp:revision>
  <cp:lastPrinted>2015-12-08T08:44:00Z</cp:lastPrinted>
  <dcterms:created xsi:type="dcterms:W3CDTF">2015-12-17T12:08:00Z</dcterms:created>
  <dcterms:modified xsi:type="dcterms:W3CDTF">2015-12-17T12:08:00Z</dcterms:modified>
</cp:coreProperties>
</file>